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3405"/>
        <w:gridCol w:w="4936"/>
      </w:tblGrid>
      <w:tr w:rsidR="00D50E3C" w:rsidRPr="00D50E3C" w:rsidTr="00D50E3C">
        <w:trPr>
          <w:tblHeader/>
        </w:trPr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BCBDC0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hd w:val="clear" w:color="auto" w:fill="FFFFFF"/>
              <w:spacing w:after="0" w:line="390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BCBDC0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697E07" w:rsidP="00D5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D50E3C" w:rsidRPr="00D50E3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IEP</w:t>
              </w:r>
            </w:hyperlink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BCBDC0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697E07" w:rsidP="00D5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D50E3C" w:rsidRPr="00D50E3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504 Plan</w:t>
              </w:r>
            </w:hyperlink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Basic Description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 blueprint or plan for a child’s </w:t>
            </w:r>
            <w:hyperlink r:id="rId10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special education</w:t>
              </w:r>
            </w:hyperlink>
            <w:r w:rsidR="003D6B68" w:rsidRPr="001350B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50E3C">
              <w:rPr>
                <w:rFonts w:eastAsia="Times New Roman" w:cstheme="minorHAnsi"/>
                <w:sz w:val="24"/>
                <w:szCs w:val="24"/>
              </w:rPr>
              <w:t>experience at school.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 blueprint or plan for how a child will have access to learning at school.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What It Does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Provides individualized special education and </w:t>
            </w:r>
            <w:hyperlink r:id="rId11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related services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 to meet the unique needs of the child.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These services are provided at no cost to parents.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Provides services and changes to the learning environment to meet the needs of the child as adequately as other students.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As with IEPs, a 504 plan is provided at no cost to parents.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What Law Applies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 </w:t>
            </w:r>
            <w:hyperlink r:id="rId12" w:history="1">
              <w:r w:rsidRPr="00D50E3C">
                <w:rPr>
                  <w:rFonts w:eastAsia="Times New Roman" w:cstheme="minorHAnsi"/>
                  <w:i/>
                  <w:sz w:val="24"/>
                  <w:szCs w:val="24"/>
                  <w:u w:val="single"/>
                </w:rPr>
                <w:t>Individuals with Disabilities Education Act</w:t>
              </w:r>
            </w:hyperlink>
            <w:r w:rsidR="003D6B68" w:rsidRPr="001350BD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r w:rsidRPr="00D50E3C">
              <w:rPr>
                <w:rFonts w:eastAsia="Times New Roman" w:cstheme="minorHAnsi"/>
                <w:sz w:val="24"/>
                <w:szCs w:val="24"/>
              </w:rPr>
              <w:t>(IDEA)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This is a federal special education law for children with disabilities.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697E07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D50E3C" w:rsidRPr="00D50E3C">
                <w:rPr>
                  <w:rFonts w:eastAsia="Times New Roman" w:cstheme="minorHAnsi"/>
                  <w:i/>
                  <w:sz w:val="24"/>
                  <w:szCs w:val="24"/>
                  <w:u w:val="single"/>
                </w:rPr>
                <w:t>Section 504 of the Rehabilitation Act</w:t>
              </w:r>
            </w:hyperlink>
            <w:r w:rsidR="00D50E3C" w:rsidRPr="00D50E3C">
              <w:rPr>
                <w:rFonts w:eastAsia="Times New Roman" w:cstheme="minorHAnsi"/>
                <w:sz w:val="24"/>
                <w:szCs w:val="24"/>
              </w:rPr>
              <w:t> of 1973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This is a federal civil rights law to stop discrimination against people with disabilities.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1350BD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Who Is Eligible</w:t>
            </w: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57D74" w:rsidRDefault="00057D74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57D74" w:rsidRDefault="00057D74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lastRenderedPageBreak/>
              <w:t>Who Is Eligible</w:t>
            </w:r>
            <w:r w:rsidRPr="001350BD">
              <w:rPr>
                <w:rFonts w:eastAsia="Times New Roman" w:cstheme="minorHAnsi"/>
                <w:sz w:val="24"/>
                <w:szCs w:val="24"/>
              </w:rPr>
              <w:t xml:space="preserve"> Cont.</w:t>
            </w: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1350BD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E7504F" w:rsidRPr="00D50E3C" w:rsidRDefault="00E7504F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lastRenderedPageBreak/>
              <w:t>To get an IEP, there are two requirements:</w:t>
            </w:r>
          </w:p>
          <w:p w:rsidR="00D50E3C" w:rsidRPr="00D50E3C" w:rsidRDefault="00D50E3C" w:rsidP="00D50E3C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 child has one or more of the </w:t>
            </w:r>
            <w:hyperlink r:id="rId14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13 specific disabilities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 listed in IDEA. Learning and attention issues may qualify.</w:t>
            </w:r>
          </w:p>
          <w:p w:rsidR="00D50E3C" w:rsidRPr="00D50E3C" w:rsidRDefault="00D50E3C" w:rsidP="001350BD">
            <w:pPr>
              <w:numPr>
                <w:ilvl w:val="0"/>
                <w:numId w:val="1"/>
              </w:numPr>
              <w:spacing w:before="180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disability must affect the child’s educational performance and/or ability to learn and benefit from the</w:t>
            </w:r>
            <w:r w:rsidR="001350BD">
              <w:rPr>
                <w:rFonts w:eastAsia="Times New Roman" w:cstheme="minorHAnsi"/>
                <w:sz w:val="24"/>
                <w:szCs w:val="24"/>
              </w:rPr>
              <w:t xml:space="preserve"> general education </w:t>
            </w:r>
            <w:r w:rsidR="001350BD">
              <w:rPr>
                <w:rFonts w:eastAsia="Times New Roman" w:cstheme="minorHAnsi"/>
                <w:sz w:val="24"/>
                <w:szCs w:val="24"/>
              </w:rPr>
              <w:lastRenderedPageBreak/>
              <w:t>curriculum</w:t>
            </w:r>
            <w:r w:rsidRPr="00D50E3C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lastRenderedPageBreak/>
              <w:t>To get a 504 plan, there are two requirements:</w:t>
            </w:r>
          </w:p>
          <w:p w:rsidR="00D50E3C" w:rsidRPr="00D50E3C" w:rsidRDefault="00D50E3C" w:rsidP="00D50E3C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 child has any disability, which can include many learning or attention issues.</w:t>
            </w:r>
          </w:p>
          <w:p w:rsidR="00D50E3C" w:rsidRPr="00D50E3C" w:rsidRDefault="00D50E3C" w:rsidP="00D50E3C">
            <w:pPr>
              <w:numPr>
                <w:ilvl w:val="0"/>
                <w:numId w:val="2"/>
              </w:numPr>
              <w:spacing w:before="180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disability must interfere with the child’s ability to learn in a general education classroom. Section 504 has a </w:t>
            </w:r>
            <w:hyperlink r:id="rId15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broader definition of a disability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 than IDEA. That’s why a child who doesn’t qualify for an IEP might still be able to get a 504 plan.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lastRenderedPageBreak/>
              <w:t>Independent Educational Evaluation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Parents can ask the school district to pay for an</w:t>
            </w:r>
            <w:r w:rsidR="00057D7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hyperlink r:id="rId16" w:history="1">
              <w:r w:rsidRPr="00D50E3C">
                <w:rPr>
                  <w:rFonts w:eastAsia="Times New Roman" w:cstheme="minorHAnsi"/>
                  <w:i/>
                  <w:sz w:val="24"/>
                  <w:szCs w:val="24"/>
                </w:rPr>
                <w:t>independent educational evaluation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 (IEE) by an outside expert. The district doesn’t have to agree.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Parents can always pay for an outside evaluation themselves, but the district may not give it much weight.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Doesn’t allow parents to ask for an IEE. As with an IEP evaluation, parents can always pay for an outside evaluation themselves.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1350BD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Who Creates the Program/Plan</w:t>
            </w: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1350BD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65AAA" w:rsidRPr="00D50E3C" w:rsidRDefault="00565AAA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lastRenderedPageBreak/>
              <w:t>Who Creates the Program/Plan</w:t>
            </w:r>
            <w:r w:rsidRPr="001350BD">
              <w:rPr>
                <w:rFonts w:eastAsia="Times New Roman" w:cstheme="minorHAnsi"/>
                <w:sz w:val="24"/>
                <w:szCs w:val="24"/>
              </w:rPr>
              <w:t xml:space="preserve"> Cont.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lastRenderedPageBreak/>
              <w:t>There are strict legal requirements about who participates. An IEP is created by an </w:t>
            </w:r>
            <w:hyperlink r:id="rId17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IEP team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 that must include:</w:t>
            </w:r>
          </w:p>
          <w:p w:rsidR="00D50E3C" w:rsidRPr="00D50E3C" w:rsidRDefault="00D50E3C" w:rsidP="00D50E3C">
            <w:pPr>
              <w:numPr>
                <w:ilvl w:val="0"/>
                <w:numId w:val="3"/>
              </w:numPr>
              <w:spacing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child’s parent</w:t>
            </w:r>
          </w:p>
          <w:p w:rsidR="00D50E3C" w:rsidRPr="00D50E3C" w:rsidRDefault="00D50E3C" w:rsidP="00D50E3C">
            <w:pPr>
              <w:numPr>
                <w:ilvl w:val="0"/>
                <w:numId w:val="3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At least one of the child’s general education teachers</w:t>
            </w:r>
          </w:p>
          <w:p w:rsidR="00D50E3C" w:rsidRPr="00D50E3C" w:rsidRDefault="00D50E3C" w:rsidP="00D50E3C">
            <w:pPr>
              <w:numPr>
                <w:ilvl w:val="0"/>
                <w:numId w:val="3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At least one special education teacher</w:t>
            </w:r>
          </w:p>
          <w:p w:rsidR="00D50E3C" w:rsidRPr="00D50E3C" w:rsidRDefault="00D50E3C" w:rsidP="00D50E3C">
            <w:pPr>
              <w:numPr>
                <w:ilvl w:val="0"/>
                <w:numId w:val="3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School psychologist or other specialist who can interpret evaluation results</w:t>
            </w:r>
          </w:p>
          <w:p w:rsidR="00D50E3C" w:rsidRPr="00D50E3C" w:rsidRDefault="00D50E3C" w:rsidP="00D50E3C">
            <w:pPr>
              <w:numPr>
                <w:ilvl w:val="0"/>
                <w:numId w:val="3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 district representative with authority over special education services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lastRenderedPageBreak/>
              <w:t>With a few exceptions, the entire team must be present for </w:t>
            </w:r>
            <w:hyperlink r:id="rId18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IEP meetings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lastRenderedPageBreak/>
              <w:t>The rules about who’s on the 504 team are less specific than they are for an IEP.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 504 plan is created by a team of people who are familiar with the child and who understand the evaluation data and special services options. This might include:</w:t>
            </w:r>
          </w:p>
          <w:p w:rsidR="00D50E3C" w:rsidRPr="00D50E3C" w:rsidRDefault="00D50E3C" w:rsidP="00D50E3C">
            <w:pPr>
              <w:numPr>
                <w:ilvl w:val="0"/>
                <w:numId w:val="4"/>
              </w:numPr>
              <w:spacing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child’s parent</w:t>
            </w:r>
          </w:p>
          <w:p w:rsidR="00D50E3C" w:rsidRPr="00D50E3C" w:rsidRDefault="00D50E3C" w:rsidP="00D50E3C">
            <w:pPr>
              <w:numPr>
                <w:ilvl w:val="0"/>
                <w:numId w:val="4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General and special education teachers</w:t>
            </w:r>
          </w:p>
          <w:p w:rsidR="00D50E3C" w:rsidRPr="00D50E3C" w:rsidRDefault="00D50E3C" w:rsidP="00D50E3C">
            <w:pPr>
              <w:numPr>
                <w:ilvl w:val="0"/>
                <w:numId w:val="4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school principal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1350BD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lastRenderedPageBreak/>
              <w:t>What's in the Program/Plan</w:t>
            </w: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1350BD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7CC9" w:rsidRPr="00D50E3C" w:rsidRDefault="00F07CC9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What's in the Program/Plan</w:t>
            </w:r>
            <w:r w:rsidRPr="001350BD">
              <w:rPr>
                <w:rFonts w:eastAsia="Times New Roman" w:cstheme="minorHAnsi"/>
                <w:sz w:val="24"/>
                <w:szCs w:val="24"/>
              </w:rPr>
              <w:t xml:space="preserve"> Cont.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IEP sets learning goals for a child and describes the services the school will give her. It’s a written document.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Here are some of the most important things the IEP must include:</w:t>
            </w:r>
          </w:p>
          <w:p w:rsidR="00D50E3C" w:rsidRPr="00D50E3C" w:rsidRDefault="00D50E3C" w:rsidP="00D50E3C">
            <w:pPr>
              <w:numPr>
                <w:ilvl w:val="0"/>
                <w:numId w:val="5"/>
              </w:numPr>
              <w:spacing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child’s </w:t>
            </w:r>
            <w:hyperlink r:id="rId19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present levels of academic and functional performance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—how she is currently doing in school</w:t>
            </w:r>
          </w:p>
          <w:p w:rsidR="00D50E3C" w:rsidRPr="00D50E3C" w:rsidRDefault="00697E07" w:rsidP="00D50E3C">
            <w:pPr>
              <w:numPr>
                <w:ilvl w:val="0"/>
                <w:numId w:val="5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hyperlink r:id="rId20" w:history="1">
              <w:r w:rsidR="00D50E3C" w:rsidRPr="00D50E3C">
                <w:rPr>
                  <w:rFonts w:eastAsia="Times New Roman" w:cstheme="minorHAnsi"/>
                  <w:sz w:val="24"/>
                  <w:szCs w:val="24"/>
                </w:rPr>
                <w:t>Annual education goals</w:t>
              </w:r>
            </w:hyperlink>
            <w:r w:rsidR="006F47C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50E3C" w:rsidRPr="00D50E3C">
              <w:rPr>
                <w:rFonts w:eastAsia="Times New Roman" w:cstheme="minorHAnsi"/>
                <w:sz w:val="24"/>
                <w:szCs w:val="24"/>
              </w:rPr>
              <w:t>for the child and how the school will track her progress</w:t>
            </w:r>
          </w:p>
          <w:p w:rsidR="00D50E3C" w:rsidRPr="00D50E3C" w:rsidRDefault="00D50E3C" w:rsidP="00D50E3C">
            <w:pPr>
              <w:numPr>
                <w:ilvl w:val="0"/>
                <w:numId w:val="5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services the child will get—this may include special education, related, supplementary and extended school year services</w:t>
            </w:r>
          </w:p>
          <w:p w:rsidR="00D50E3C" w:rsidRPr="00D50E3C" w:rsidRDefault="00D50E3C" w:rsidP="00D50E3C">
            <w:pPr>
              <w:numPr>
                <w:ilvl w:val="0"/>
                <w:numId w:val="5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timing of services—when they start, how often they occur and how long they last</w:t>
            </w:r>
          </w:p>
          <w:p w:rsidR="00D50E3C" w:rsidRPr="00D50E3C" w:rsidRDefault="00D50E3C" w:rsidP="00D50E3C">
            <w:pPr>
              <w:numPr>
                <w:ilvl w:val="0"/>
                <w:numId w:val="5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Any </w:t>
            </w:r>
            <w:hyperlink r:id="rId21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accommodations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—changes to the child’s learning environment</w:t>
            </w:r>
          </w:p>
          <w:p w:rsidR="00D50E3C" w:rsidRPr="00D50E3C" w:rsidRDefault="00D50E3C" w:rsidP="00D50E3C">
            <w:pPr>
              <w:numPr>
                <w:ilvl w:val="0"/>
                <w:numId w:val="5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Any </w:t>
            </w:r>
            <w:hyperlink r:id="rId22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modifications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—changes to what the child is expected to learn or know</w:t>
            </w:r>
          </w:p>
          <w:p w:rsidR="00D50E3C" w:rsidRPr="00D50E3C" w:rsidRDefault="00D50E3C" w:rsidP="00D50E3C">
            <w:pPr>
              <w:numPr>
                <w:ilvl w:val="0"/>
                <w:numId w:val="5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How the child will participate in standardized tests</w:t>
            </w:r>
          </w:p>
          <w:p w:rsidR="00D50E3C" w:rsidRPr="00D50E3C" w:rsidRDefault="00D50E3C" w:rsidP="00D50E3C">
            <w:pPr>
              <w:numPr>
                <w:ilvl w:val="0"/>
                <w:numId w:val="5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How the child will be included in general education classes and school activities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There is no standard 504 plan. Unlike an IEP, a 504 plan doesn’t</w:t>
            </w:r>
            <w:r w:rsidR="00E36FB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50E3C">
              <w:rPr>
                <w:rFonts w:eastAsia="Times New Roman" w:cstheme="minorHAnsi"/>
                <w:i/>
                <w:iCs/>
                <w:sz w:val="24"/>
                <w:szCs w:val="24"/>
              </w:rPr>
              <w:t>have</w:t>
            </w:r>
            <w:r w:rsidRPr="00D50E3C">
              <w:rPr>
                <w:rFonts w:eastAsia="Times New Roman" w:cstheme="minorHAnsi"/>
                <w:sz w:val="24"/>
                <w:szCs w:val="24"/>
              </w:rPr>
              <w:t> to be a written document.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 504 plan generally includes the following:</w:t>
            </w:r>
          </w:p>
          <w:p w:rsidR="00D50E3C" w:rsidRPr="00D50E3C" w:rsidRDefault="00D50E3C" w:rsidP="00D50E3C">
            <w:pPr>
              <w:numPr>
                <w:ilvl w:val="0"/>
                <w:numId w:val="6"/>
              </w:numPr>
              <w:spacing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Specific </w:t>
            </w:r>
            <w:hyperlink r:id="rId23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accommodations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, supports or services for the child</w:t>
            </w:r>
          </w:p>
          <w:p w:rsidR="00D50E3C" w:rsidRPr="00D50E3C" w:rsidRDefault="00D50E3C" w:rsidP="00D50E3C">
            <w:pPr>
              <w:numPr>
                <w:ilvl w:val="0"/>
                <w:numId w:val="6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Names of who will provide each service</w:t>
            </w:r>
          </w:p>
          <w:p w:rsidR="00D50E3C" w:rsidRPr="00D50E3C" w:rsidRDefault="00D50E3C" w:rsidP="00D50E3C">
            <w:pPr>
              <w:numPr>
                <w:ilvl w:val="0"/>
                <w:numId w:val="6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Name of the person responsible for ensuring the plan is implemented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Parent Notice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When the school wants to change a child’s services or placement, it has to tell parents in writing </w:t>
            </w:r>
            <w:r w:rsidRPr="00D50E3C">
              <w:rPr>
                <w:rFonts w:eastAsia="Times New Roman" w:cstheme="minorHAnsi"/>
                <w:i/>
                <w:iCs/>
                <w:sz w:val="24"/>
                <w:szCs w:val="24"/>
              </w:rPr>
              <w:t>before</w:t>
            </w:r>
            <w:r w:rsidRPr="00D50E3C">
              <w:rPr>
                <w:rFonts w:eastAsia="Times New Roman" w:cstheme="minorHAnsi"/>
                <w:sz w:val="24"/>
                <w:szCs w:val="24"/>
              </w:rPr>
              <w:t> the change. This is called </w:t>
            </w:r>
            <w:hyperlink r:id="rId24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prior written notice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. Notice is also required for any IEP meetings and evaluations.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Parents also have </w:t>
            </w:r>
            <w:hyperlink r:id="rId25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“stay put” rights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 to keep services in place while there’s a dispute.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school must notify parents about evaluation or a “significant change” in placement. Notice doesn’t have to be in writing, but most schools do so anyway.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Parent Consent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 parent must consent in writing for the school to evaluate a child. Parents must also consent in writing before the school can provide services in an IEP.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 parent’s consent is required for the school district to evaluate a child.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How Often It’s Reviewed and Revised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IEP team must review the IEP at least once a year.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student must be reevaluated every three years to determine whether services are still needed.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The rules vary by state. Generally, a 504 plan is reviewed each year and a reevaluation is done every three years or when needed.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How to Resolve Disputes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IDEA gives parents </w:t>
            </w:r>
            <w:hyperlink r:id="rId26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several specific ways to resolve disputes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 (usually in this order):</w:t>
            </w:r>
          </w:p>
          <w:p w:rsidR="00D50E3C" w:rsidRPr="00D50E3C" w:rsidRDefault="00D50E3C" w:rsidP="00D50E3C">
            <w:pPr>
              <w:numPr>
                <w:ilvl w:val="0"/>
                <w:numId w:val="7"/>
              </w:numPr>
              <w:spacing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Mediation</w:t>
            </w:r>
          </w:p>
          <w:p w:rsidR="00D50E3C" w:rsidRPr="00D50E3C" w:rsidRDefault="00697E07" w:rsidP="00D50E3C">
            <w:pPr>
              <w:numPr>
                <w:ilvl w:val="0"/>
                <w:numId w:val="7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hyperlink r:id="rId27" w:history="1">
              <w:r w:rsidR="00D50E3C" w:rsidRPr="00D50E3C">
                <w:rPr>
                  <w:rFonts w:eastAsia="Times New Roman" w:cstheme="minorHAnsi"/>
                  <w:sz w:val="24"/>
                  <w:szCs w:val="24"/>
                </w:rPr>
                <w:t>Due process complaint</w:t>
              </w:r>
            </w:hyperlink>
          </w:p>
          <w:p w:rsidR="00D50E3C" w:rsidRPr="00D50E3C" w:rsidRDefault="00697E07" w:rsidP="00D50E3C">
            <w:pPr>
              <w:numPr>
                <w:ilvl w:val="0"/>
                <w:numId w:val="7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hyperlink r:id="rId28" w:history="1">
              <w:r w:rsidR="00D50E3C" w:rsidRPr="00D50E3C">
                <w:rPr>
                  <w:rFonts w:eastAsia="Times New Roman" w:cstheme="minorHAnsi"/>
                  <w:sz w:val="24"/>
                  <w:szCs w:val="24"/>
                </w:rPr>
                <w:t>Resolution session</w:t>
              </w:r>
            </w:hyperlink>
          </w:p>
          <w:p w:rsidR="00D50E3C" w:rsidRPr="00D50E3C" w:rsidRDefault="00D50E3C" w:rsidP="00D50E3C">
            <w:pPr>
              <w:numPr>
                <w:ilvl w:val="0"/>
                <w:numId w:val="7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Civil lawsuit</w:t>
            </w:r>
          </w:p>
          <w:p w:rsidR="00D50E3C" w:rsidRPr="00D50E3C" w:rsidRDefault="00697E07" w:rsidP="00D50E3C">
            <w:pPr>
              <w:numPr>
                <w:ilvl w:val="0"/>
                <w:numId w:val="7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hyperlink r:id="rId29" w:history="1">
              <w:r w:rsidR="00D50E3C" w:rsidRPr="00D50E3C">
                <w:rPr>
                  <w:rFonts w:eastAsia="Times New Roman" w:cstheme="minorHAnsi"/>
                  <w:sz w:val="24"/>
                  <w:szCs w:val="24"/>
                </w:rPr>
                <w:t>State complaint</w:t>
              </w:r>
            </w:hyperlink>
          </w:p>
          <w:p w:rsidR="00D50E3C" w:rsidRPr="00D50E3C" w:rsidRDefault="00D50E3C" w:rsidP="00D50E3C">
            <w:pPr>
              <w:numPr>
                <w:ilvl w:val="0"/>
                <w:numId w:val="7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Lawsuit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4F2F1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Section 504 gives parents </w:t>
            </w:r>
            <w:hyperlink r:id="rId30" w:history="1">
              <w:r w:rsidRPr="00D50E3C">
                <w:rPr>
                  <w:rFonts w:eastAsia="Times New Roman" w:cstheme="minorHAnsi"/>
                  <w:sz w:val="24"/>
                  <w:szCs w:val="24"/>
                </w:rPr>
                <w:t>several options for resolving disagreements</w:t>
              </w:r>
            </w:hyperlink>
            <w:r w:rsidRPr="00D50E3C">
              <w:rPr>
                <w:rFonts w:eastAsia="Times New Roman" w:cstheme="minorHAnsi"/>
                <w:sz w:val="24"/>
                <w:szCs w:val="24"/>
              </w:rPr>
              <w:t> with the school:</w:t>
            </w:r>
          </w:p>
          <w:p w:rsidR="00D50E3C" w:rsidRPr="00D50E3C" w:rsidRDefault="00D50E3C" w:rsidP="00D50E3C">
            <w:pPr>
              <w:numPr>
                <w:ilvl w:val="0"/>
                <w:numId w:val="8"/>
              </w:numPr>
              <w:spacing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Mediation</w:t>
            </w:r>
          </w:p>
          <w:p w:rsidR="00D50E3C" w:rsidRPr="00D50E3C" w:rsidRDefault="00D50E3C" w:rsidP="00D50E3C">
            <w:pPr>
              <w:numPr>
                <w:ilvl w:val="0"/>
                <w:numId w:val="8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Alternative dispute resolution</w:t>
            </w:r>
          </w:p>
          <w:p w:rsidR="00D50E3C" w:rsidRPr="00D50E3C" w:rsidRDefault="00D50E3C" w:rsidP="00D50E3C">
            <w:pPr>
              <w:numPr>
                <w:ilvl w:val="0"/>
                <w:numId w:val="8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Impartial hearing</w:t>
            </w:r>
          </w:p>
          <w:p w:rsidR="00D50E3C" w:rsidRPr="00D50E3C" w:rsidRDefault="00D50E3C" w:rsidP="00D50E3C">
            <w:pPr>
              <w:numPr>
                <w:ilvl w:val="0"/>
                <w:numId w:val="8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Complaint to the Office of Civil Rights (OCR)</w:t>
            </w:r>
          </w:p>
          <w:p w:rsidR="00D50E3C" w:rsidRPr="00D50E3C" w:rsidRDefault="00D50E3C" w:rsidP="00D50E3C">
            <w:pPr>
              <w:numPr>
                <w:ilvl w:val="0"/>
                <w:numId w:val="8"/>
              </w:numPr>
              <w:spacing w:before="180" w:after="100" w:afterAutospacing="1" w:line="240" w:lineRule="auto"/>
              <w:ind w:left="450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Lawsuit</w:t>
            </w:r>
          </w:p>
        </w:tc>
      </w:tr>
      <w:tr w:rsidR="00D50E3C" w:rsidRPr="00D50E3C" w:rsidTr="00D50E3C">
        <w:tc>
          <w:tcPr>
            <w:tcW w:w="2639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Funding/Costs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Students receive these services at no charge.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States receive additional funding for eligible students.</w:t>
            </w:r>
          </w:p>
        </w:tc>
        <w:tc>
          <w:tcPr>
            <w:tcW w:w="4936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Students receive these services at no charge.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States do not receive extra funding for eligible students. But the federal government can take funding away from programs (including schools) that don’t comply.</w:t>
            </w:r>
          </w:p>
          <w:p w:rsidR="00D50E3C" w:rsidRPr="00D50E3C" w:rsidRDefault="00D50E3C" w:rsidP="00D50E3C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0E3C">
              <w:rPr>
                <w:rFonts w:eastAsia="Times New Roman" w:cstheme="minorHAnsi"/>
                <w:sz w:val="24"/>
                <w:szCs w:val="24"/>
              </w:rPr>
              <w:t>IDEA funds can’t be used to serve students with 504 plans.</w:t>
            </w:r>
          </w:p>
        </w:tc>
      </w:tr>
    </w:tbl>
    <w:p w:rsidR="00D50E3C" w:rsidRPr="001350BD" w:rsidRDefault="00D50E3C">
      <w:pPr>
        <w:contextualSpacing/>
        <w:rPr>
          <w:rFonts w:cstheme="minorHAnsi"/>
          <w:sz w:val="24"/>
          <w:szCs w:val="24"/>
        </w:rPr>
      </w:pPr>
    </w:p>
    <w:sectPr w:rsidR="00D50E3C" w:rsidRPr="001350BD" w:rsidSect="00D50E3C">
      <w:headerReference w:type="default" r:id="rId31"/>
      <w:footerReference w:type="default" r:id="rId3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07" w:rsidRDefault="00697E07" w:rsidP="00D50E3C">
      <w:pPr>
        <w:spacing w:after="0" w:line="240" w:lineRule="auto"/>
      </w:pPr>
      <w:r>
        <w:separator/>
      </w:r>
    </w:p>
  </w:endnote>
  <w:endnote w:type="continuationSeparator" w:id="0">
    <w:p w:rsidR="00697E07" w:rsidRDefault="00697E07" w:rsidP="00D5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487714"/>
      <w:docPartObj>
        <w:docPartGallery w:val="Page Numbers (Bottom of Page)"/>
        <w:docPartUnique/>
      </w:docPartObj>
    </w:sdtPr>
    <w:sdtEndPr/>
    <w:sdtContent>
      <w:sdt>
        <w:sdtPr>
          <w:id w:val="51055705"/>
          <w:docPartObj>
            <w:docPartGallery w:val="Page Numbers (Top of Page)"/>
            <w:docPartUnique/>
          </w:docPartObj>
        </w:sdtPr>
        <w:sdtEndPr/>
        <w:sdtContent>
          <w:p w:rsidR="00D50E3C" w:rsidRDefault="00704CDD" w:rsidP="00D50E3C">
            <w:pPr>
              <w:pStyle w:val="Footer"/>
            </w:pPr>
            <w:r>
              <w:rPr>
                <w:rFonts w:ascii="Bodoni MT Black" w:hAnsi="Bodoni MT Black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305CD67" wp14:editId="60A5AD6D">
                  <wp:simplePos x="0" y="0"/>
                  <wp:positionH relativeFrom="column">
                    <wp:posOffset>-599090</wp:posOffset>
                  </wp:positionH>
                  <wp:positionV relativeFrom="paragraph">
                    <wp:posOffset>20496</wp:posOffset>
                  </wp:positionV>
                  <wp:extent cx="1270000" cy="381000"/>
                  <wp:effectExtent l="0" t="0" r="0" b="0"/>
                  <wp:wrapTight wrapText="bothSides">
                    <wp:wrapPolygon edited="0">
                      <wp:start x="1296" y="0"/>
                      <wp:lineTo x="0" y="9720"/>
                      <wp:lineTo x="324" y="14040"/>
                      <wp:lineTo x="4212" y="18360"/>
                      <wp:lineTo x="4536" y="20520"/>
                      <wp:lineTo x="6804" y="20520"/>
                      <wp:lineTo x="21060" y="18360"/>
                      <wp:lineTo x="21060" y="3240"/>
                      <wp:lineTo x="5508" y="0"/>
                      <wp:lineTo x="1296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ent Mentors Logo_final-0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>
              <w:tab/>
            </w:r>
            <w:r w:rsidR="00D50E3C">
              <w:t xml:space="preserve">Updated </w:t>
            </w:r>
            <w:r>
              <w:t xml:space="preserve">8/2015         </w:t>
            </w:r>
            <w:r w:rsidR="00D50E3C">
              <w:t xml:space="preserve">Page </w:t>
            </w:r>
            <w:r w:rsidR="00D50E3C">
              <w:rPr>
                <w:b/>
                <w:bCs/>
                <w:sz w:val="24"/>
                <w:szCs w:val="24"/>
              </w:rPr>
              <w:fldChar w:fldCharType="begin"/>
            </w:r>
            <w:r w:rsidR="00D50E3C">
              <w:rPr>
                <w:b/>
                <w:bCs/>
              </w:rPr>
              <w:instrText xml:space="preserve"> PAGE </w:instrText>
            </w:r>
            <w:r w:rsidR="00D50E3C">
              <w:rPr>
                <w:b/>
                <w:bCs/>
                <w:sz w:val="24"/>
                <w:szCs w:val="24"/>
              </w:rPr>
              <w:fldChar w:fldCharType="separate"/>
            </w:r>
            <w:r w:rsidR="009F7447">
              <w:rPr>
                <w:b/>
                <w:bCs/>
                <w:noProof/>
              </w:rPr>
              <w:t>1</w:t>
            </w:r>
            <w:r w:rsidR="00D50E3C">
              <w:rPr>
                <w:b/>
                <w:bCs/>
                <w:sz w:val="24"/>
                <w:szCs w:val="24"/>
              </w:rPr>
              <w:fldChar w:fldCharType="end"/>
            </w:r>
            <w:r w:rsidR="00D50E3C">
              <w:t xml:space="preserve"> of </w:t>
            </w:r>
            <w:r w:rsidR="00D50E3C">
              <w:rPr>
                <w:b/>
                <w:bCs/>
                <w:sz w:val="24"/>
                <w:szCs w:val="24"/>
              </w:rPr>
              <w:fldChar w:fldCharType="begin"/>
            </w:r>
            <w:r w:rsidR="00D50E3C">
              <w:rPr>
                <w:b/>
                <w:bCs/>
              </w:rPr>
              <w:instrText xml:space="preserve"> NUMPAGES  </w:instrText>
            </w:r>
            <w:r w:rsidR="00D50E3C">
              <w:rPr>
                <w:b/>
                <w:bCs/>
                <w:sz w:val="24"/>
                <w:szCs w:val="24"/>
              </w:rPr>
              <w:fldChar w:fldCharType="separate"/>
            </w:r>
            <w:r w:rsidR="009F7447">
              <w:rPr>
                <w:b/>
                <w:bCs/>
                <w:noProof/>
              </w:rPr>
              <w:t>3</w:t>
            </w:r>
            <w:r w:rsidR="00D50E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0E3C" w:rsidRDefault="00D50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07" w:rsidRDefault="00697E07" w:rsidP="00D50E3C">
      <w:pPr>
        <w:spacing w:after="0" w:line="240" w:lineRule="auto"/>
      </w:pPr>
      <w:r>
        <w:separator/>
      </w:r>
    </w:p>
  </w:footnote>
  <w:footnote w:type="continuationSeparator" w:id="0">
    <w:p w:rsidR="00697E07" w:rsidRDefault="00697E07" w:rsidP="00D5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3C" w:rsidRPr="00D50E3C" w:rsidRDefault="00D50E3C" w:rsidP="00D50E3C">
    <w:pPr>
      <w:pStyle w:val="Header"/>
      <w:jc w:val="center"/>
      <w:rPr>
        <w:rFonts w:ascii="Bodoni MT Black" w:hAnsi="Bodoni MT Black"/>
        <w:sz w:val="28"/>
        <w:szCs w:val="28"/>
      </w:rPr>
    </w:pPr>
    <w:r w:rsidRPr="00D50E3C">
      <w:rPr>
        <w:rFonts w:ascii="Bodoni MT Black" w:hAnsi="Bodoni MT Black"/>
        <w:sz w:val="28"/>
        <w:szCs w:val="28"/>
      </w:rPr>
      <w:t xml:space="preserve">IEP </w:t>
    </w:r>
    <w:r w:rsidR="00704CDD">
      <w:rPr>
        <w:rFonts w:ascii="Bodoni MT Black" w:hAnsi="Bodoni MT Black"/>
        <w:sz w:val="28"/>
        <w:szCs w:val="28"/>
      </w:rPr>
      <w:t>-</w:t>
    </w:r>
    <w:r w:rsidRPr="00D50E3C">
      <w:rPr>
        <w:rFonts w:ascii="Bodoni MT Black" w:hAnsi="Bodoni MT Black"/>
        <w:sz w:val="28"/>
        <w:szCs w:val="28"/>
      </w:rPr>
      <w:t xml:space="preserve"> </w:t>
    </w:r>
    <w:r>
      <w:rPr>
        <w:rFonts w:ascii="Bodoni MT Black" w:hAnsi="Bodoni MT Black"/>
        <w:sz w:val="28"/>
        <w:szCs w:val="28"/>
      </w:rPr>
      <w:t>504</w:t>
    </w:r>
    <w:r w:rsidRPr="00D50E3C">
      <w:rPr>
        <w:rFonts w:ascii="Bodoni MT Black" w:hAnsi="Bodoni MT Black"/>
        <w:sz w:val="28"/>
        <w:szCs w:val="28"/>
      </w:rPr>
      <w:t xml:space="preserve"> PLAN</w:t>
    </w:r>
    <w:r w:rsidR="00704CDD">
      <w:rPr>
        <w:rFonts w:ascii="Bodoni MT Black" w:hAnsi="Bodoni MT Black"/>
        <w:sz w:val="28"/>
        <w:szCs w:val="28"/>
      </w:rPr>
      <w:t xml:space="preserve"> COMPARISON</w:t>
    </w:r>
  </w:p>
  <w:p w:rsidR="00D50E3C" w:rsidRDefault="00D50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207"/>
    <w:multiLevelType w:val="multilevel"/>
    <w:tmpl w:val="F402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72B7D"/>
    <w:multiLevelType w:val="multilevel"/>
    <w:tmpl w:val="3ACE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42502"/>
    <w:multiLevelType w:val="multilevel"/>
    <w:tmpl w:val="D402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527E18"/>
    <w:multiLevelType w:val="multilevel"/>
    <w:tmpl w:val="7C7E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EA4158"/>
    <w:multiLevelType w:val="multilevel"/>
    <w:tmpl w:val="0BC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4646FA"/>
    <w:multiLevelType w:val="multilevel"/>
    <w:tmpl w:val="2C02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0000F"/>
    <w:multiLevelType w:val="multilevel"/>
    <w:tmpl w:val="E344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6628F"/>
    <w:multiLevelType w:val="multilevel"/>
    <w:tmpl w:val="919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3C"/>
    <w:rsid w:val="00057D74"/>
    <w:rsid w:val="001350BD"/>
    <w:rsid w:val="003D6B68"/>
    <w:rsid w:val="0045059F"/>
    <w:rsid w:val="00565AAA"/>
    <w:rsid w:val="00582973"/>
    <w:rsid w:val="006627B3"/>
    <w:rsid w:val="00697E07"/>
    <w:rsid w:val="006F47C2"/>
    <w:rsid w:val="00704CDD"/>
    <w:rsid w:val="00725243"/>
    <w:rsid w:val="009758B4"/>
    <w:rsid w:val="009F7447"/>
    <w:rsid w:val="00AB1BC3"/>
    <w:rsid w:val="00AF7575"/>
    <w:rsid w:val="00B61DBE"/>
    <w:rsid w:val="00BD71F1"/>
    <w:rsid w:val="00D50E3C"/>
    <w:rsid w:val="00E36FB0"/>
    <w:rsid w:val="00E7504F"/>
    <w:rsid w:val="00F07CC9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3C"/>
  </w:style>
  <w:style w:type="paragraph" w:styleId="Footer">
    <w:name w:val="footer"/>
    <w:basedOn w:val="Normal"/>
    <w:link w:val="FooterChar"/>
    <w:uiPriority w:val="99"/>
    <w:unhideWhenUsed/>
    <w:rsid w:val="00D5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3C"/>
  </w:style>
  <w:style w:type="paragraph" w:styleId="Footer">
    <w:name w:val="footer"/>
    <w:basedOn w:val="Normal"/>
    <w:link w:val="FooterChar"/>
    <w:uiPriority w:val="99"/>
    <w:unhideWhenUsed/>
    <w:rsid w:val="00D5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1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82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www.understood.org/en/school-learning/special-services/ieps/the-iep-meeting-an-overview" TargetMode="External"/><Relationship Id="rId26" Type="http://schemas.openxmlformats.org/officeDocument/2006/relationships/hyperlink" Target="https://www.understood.org/en/school-learning/your-childs-rights/dispute-resolution/6-options-for-resolving-an-iep-dispu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understood.org/en/learning-attention-issues/treatments-approaches/educational-strategies/accommodations-what-they-are-and-how-they-wor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www.understood.org/en/school-learning/special-services/ieps/at-a-glance-whos-on-the-iep-team" TargetMode="External"/><Relationship Id="rId25" Type="http://schemas.openxmlformats.org/officeDocument/2006/relationships/hyperlink" Target="https://www.understood.org/en/school-learning/your-childs-rights/basics-about-childs-rights/stay-put-rights-what-they-are-and-how-they-wor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www.understood.org/en/school-learning/special-services/ieps/annual-iep-goals-what-you-need-to-know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www.understood.org/en/school-learning/your-childs-rights/basics-about-childs-rights/prior-written-notice-your-right-to-hear-about-change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understood.org/en/school-learning/special-services/504-plan/504-plan-terms-to-know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ww.understood.org/en/school-learning/special-services/ieps/setting-an-iep-baseline-plop-plaafp-and-plp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www.understood.org/en/school-learning/your-childs-rights/basics-about-childs-rights/how-idea-protects-you-and-your-child" TargetMode="External"/><Relationship Id="rId22" Type="http://schemas.openxmlformats.org/officeDocument/2006/relationships/hyperlink" Target="https://www.understood.org/en/learning-attention-issues/treatments-approaches/educational-strategies/modifications-what-they-are-and-how-they-work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www.understood.org/en/school-learning/your-childs-rights/dispute-resolution/5-options-for-resolving-a-504-plan-dispute" TargetMode="External"/><Relationship Id="rId8" Type="http://schemas.openxmlformats.org/officeDocument/2006/relationships/hyperlink" Target="javascript:void(0)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School District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Hancock</dc:creator>
  <cp:lastModifiedBy>Jane Grillo</cp:lastModifiedBy>
  <cp:revision>2</cp:revision>
  <dcterms:created xsi:type="dcterms:W3CDTF">2015-08-11T19:46:00Z</dcterms:created>
  <dcterms:modified xsi:type="dcterms:W3CDTF">2015-08-11T19:46:00Z</dcterms:modified>
</cp:coreProperties>
</file>